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227" w:before="0"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ЧЕЛЯБИНСКАЯ ОБЛАСТЬ КАРТАЛИНСКИЙ МУНИЦИПАЛЬНЫЙ РАЙОН </w:t>
      </w:r>
    </w:p>
    <w:p>
      <w:pPr>
        <w:pStyle w:val="Style16"/>
        <w:spacing w:lineRule="atLeast" w:line="227" w:before="0"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СОВЕТ ДЕПУТАТОВ НЕПЛЮЕВСКОГО СЕЛЬСКОГО ПОСЕЛЕНИЯ</w:t>
      </w:r>
    </w:p>
    <w:p>
      <w:pPr>
        <w:pStyle w:val="Style16"/>
        <w:spacing w:lineRule="atLeast" w:line="227" w:before="0" w:after="0"/>
        <w:jc w:val="center"/>
        <w:rPr/>
      </w:pPr>
      <w:r>
        <w:rPr/>
        <w:t> </w:t>
      </w:r>
    </w:p>
    <w:p>
      <w:pPr>
        <w:pStyle w:val="Style16"/>
        <w:spacing w:lineRule="atLeast" w:line="227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РЕШЕНИЕ</w:t>
      </w:r>
    </w:p>
    <w:p>
      <w:pPr>
        <w:pStyle w:val="Style16"/>
        <w:spacing w:lineRule="atLeast" w:line="227" w:before="0" w:after="0"/>
        <w:jc w:val="center"/>
        <w:rPr/>
      </w:pPr>
      <w:r>
        <w:rPr/>
        <w:t> 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25.03.2016 г. № 22</w:t>
      </w:r>
    </w:p>
    <w:p>
      <w:pPr>
        <w:pStyle w:val="Style16"/>
        <w:spacing w:lineRule="atLeast" w:line="227" w:before="0" w:after="0"/>
        <w:rPr/>
      </w:pPr>
      <w:r>
        <w:rPr/>
        <w:t> 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внесении изменений в местные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нормативы градостроительного 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проектирования Неплюевского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поселения, утвержденные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решением Совета депутатов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Неплюевского сельского поселения 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28.11.2014 г. № 123</w:t>
      </w:r>
    </w:p>
    <w:p>
      <w:pPr>
        <w:pStyle w:val="Style16"/>
        <w:spacing w:lineRule="atLeast" w:line="227" w:before="0" w:after="0"/>
        <w:jc w:val="both"/>
        <w:rPr/>
      </w:pPr>
      <w:r>
        <w:rPr/>
        <w:t> </w:t>
      </w:r>
    </w:p>
    <w:p>
      <w:pPr>
        <w:pStyle w:val="Style16"/>
        <w:spacing w:lineRule="atLeast" w:line="227" w:before="0" w:after="0"/>
        <w:jc w:val="both"/>
        <w:rPr/>
      </w:pPr>
      <w:r>
        <w:rPr>
          <w:rFonts w:ascii="Times New Roman;serif" w:hAnsi="Times New Roman;serif"/>
          <w:sz w:val="28"/>
        </w:rPr>
        <w:t>Рассмотрев ходатайство администрации Неплюевского</w:t>
      </w:r>
    </w:p>
    <w:p>
      <w:pPr>
        <w:pStyle w:val="Style16"/>
        <w:spacing w:lineRule="atLeast" w:line="227" w:before="0" w:after="0"/>
        <w:jc w:val="both"/>
        <w:rPr/>
      </w:pPr>
      <w:r>
        <w:rPr>
          <w:rFonts w:ascii="Times New Roman;serif" w:hAnsi="Times New Roman;serif"/>
          <w:sz w:val="28"/>
        </w:rPr>
        <w:t>сельского поселения в целях приведения </w:t>
      </w:r>
      <w:hyperlink r:id="rId2">
        <w:r>
          <w:rPr>
            <w:rStyle w:val="Style14"/>
            <w:rFonts w:ascii="Times New Roman;serif" w:hAnsi="Times New Roman;serif"/>
            <w:sz w:val="28"/>
          </w:rPr>
          <w:t>нормативного правового</w:t>
        </w:r>
      </w:hyperlink>
      <w:r>
        <w:rPr>
          <w:rFonts w:ascii="Times New Roman;serif" w:hAnsi="Times New Roman;serif"/>
          <w:sz w:val="28"/>
        </w:rPr>
        <w:t> акта Неплюевского сельского поселения Карталинского муниципального района Челябинской области в соответствие с действующим законодательством, руководствуясь пунктом 2 статьи 8, пунктом 1 статьи 29.4 Градостроительного кодекса Российской Федерации ,</w:t>
      </w:r>
    </w:p>
    <w:p>
      <w:pPr>
        <w:pStyle w:val="Style16"/>
        <w:spacing w:lineRule="atLeast" w:line="227" w:before="0" w:after="0"/>
        <w:jc w:val="both"/>
        <w:rPr/>
      </w:pPr>
      <w:r>
        <w:rPr>
          <w:rFonts w:ascii="Times New Roman;serif" w:hAnsi="Times New Roman;serif"/>
          <w:sz w:val="28"/>
        </w:rPr>
        <w:t>Совет депутатов Неплюевского сельского поселения РЕШАЕТ:</w:t>
      </w:r>
    </w:p>
    <w:p>
      <w:pPr>
        <w:pStyle w:val="Style16"/>
        <w:spacing w:lineRule="atLeast" w:line="227" w:before="0" w:after="0"/>
        <w:jc w:val="both"/>
        <w:rPr/>
      </w:pPr>
      <w:r>
        <w:rPr>
          <w:rFonts w:ascii="Times New Roman;serif" w:hAnsi="Times New Roman;serif"/>
          <w:sz w:val="28"/>
        </w:rPr>
        <w:t>1. Внести в местные нормативы градостроительного проектирования Неплюевского сельского поселения Карталинского муниципального района Челябинской области, утвержденные решением Совета депутатов Неплюевского сельского поселения от 28.11.2014 г. № 123 «Об утверждении местных нормативов градостроительного проектирования Неплюевского сельского поселения» (далее - нормативы) следующие изменения: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дополнить главу 9 пунктом 9.16. следующего содержания:</w:t>
      </w:r>
    </w:p>
    <w:p>
      <w:pPr>
        <w:pStyle w:val="Style16"/>
        <w:spacing w:lineRule="auto" w:line="24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«Нормативы обеспеченности объектами связи</w:t>
      </w:r>
    </w:p>
    <w:p>
      <w:pPr>
        <w:pStyle w:val="Style16"/>
        <w:spacing w:lineRule="auto" w:line="24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Расчет обеспеченности жителей объектами связи следует осуществлять по таблице </w:t>
      </w:r>
    </w:p>
    <w:tbl>
      <w:tblPr>
        <w:tblW w:w="978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85"/>
        <w:gridCol w:w="3270"/>
        <w:gridCol w:w="1703"/>
        <w:gridCol w:w="1773"/>
        <w:gridCol w:w="2549"/>
      </w:tblGrid>
      <w:tr>
        <w:trPr/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п/п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Наименование объектов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Единица измерения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Расчетные показатели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Площадь участка на единицу измерения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АТС (из расчета 600 номеров на 1000 жителей)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 на 10-40 тысяч номеров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расчету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300 кв. м*/0,1 га**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Узловая АТС (из расчета 1 узел на 10 АТС)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расчету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440 кв. м*/0,15 га**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Опорно – усилительная станция (из расчета 60-120 тыс. абонентов)/ районный комбинированный узел электросвязи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расчету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550 кв. м*/0,2 га**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расчету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0,05-0,1 га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50-70 кв. м. 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Головная станция кабельного телевещания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 на город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0,02-0,1 га на объект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объект на 2500 жителей</w:t>
            </w:r>
          </w:p>
        </w:tc>
        <w:tc>
          <w:tcPr>
            <w:tcW w:w="1773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соответствии с требованиями и СН 461-74 Нормы отвода земель для линии связи»</w:t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10-50 кв. м. на объект</w:t>
            </w:r>
          </w:p>
        </w:tc>
      </w:tr>
    </w:tbl>
    <w:p>
      <w:pPr>
        <w:pStyle w:val="Style16"/>
        <w:spacing w:lineRule="auto" w:line="240" w:before="119" w:after="0"/>
        <w:ind w:left="0" w:right="0" w:firstLine="283"/>
        <w:jc w:val="both"/>
        <w:rPr/>
      </w:pPr>
      <w:r>
        <w:rPr>
          <w:rFonts w:ascii="Times New Roman;serif" w:hAnsi="Times New Roman;serif"/>
          <w:color w:val="000000"/>
        </w:rPr>
        <w:t>Примечания:</w:t>
      </w:r>
    </w:p>
    <w:p>
      <w:pPr>
        <w:pStyle w:val="Style16"/>
        <w:spacing w:lineRule="auto" w:line="240" w:before="0" w:after="0"/>
        <w:ind w:left="0" w:right="0" w:firstLine="283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* указана только полезная площадь для технологических помещений (без бытовых помещений, бойлерных, электрощитовых,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здание);.</w:t>
      </w:r>
    </w:p>
    <w:p>
      <w:pPr>
        <w:pStyle w:val="Style16"/>
        <w:spacing w:lineRule="auto" w:line="240" w:before="0" w:after="0"/>
        <w:ind w:left="0" w:right="0" w:firstLine="283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** указана площадь застройки с обособлением в отдельное здание.</w:t>
      </w:r>
    </w:p>
    <w:p>
      <w:pPr>
        <w:pStyle w:val="Style16"/>
        <w:spacing w:lineRule="auto" w:line="24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Размеры земельных участков для сооружений связи следует устанавливать в соответствии с таблицей</w:t>
      </w:r>
    </w:p>
    <w:tbl>
      <w:tblPr>
        <w:tblW w:w="940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644"/>
        <w:gridCol w:w="3761"/>
      </w:tblGrid>
      <w:tr>
        <w:trPr/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ind w:left="0" w:right="0" w:firstLine="3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Сооружения связи</w:t>
            </w:r>
          </w:p>
        </w:tc>
        <w:tc>
          <w:tcPr>
            <w:tcW w:w="37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ind w:left="0" w:right="0" w:firstLine="3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Размеры земельных участков, га</w:t>
            </w:r>
          </w:p>
        </w:tc>
      </w:tr>
      <w:tr>
        <w:trPr/>
        <w:tc>
          <w:tcPr>
            <w:tcW w:w="9405" w:type="dxa"/>
            <w:gridSpan w:val="2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Радиорелейные линии, базовые станции сотовой связи</w:t>
            </w:r>
          </w:p>
        </w:tc>
      </w:tr>
      <w:tr>
        <w:trPr/>
        <w:tc>
          <w:tcPr>
            <w:tcW w:w="5644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ind w:left="0" w:right="0" w:firstLine="3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Узловые радиорелейные станции, с мачтой или башней высотой, м: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110</w:t>
            </w:r>
          </w:p>
          <w:p>
            <w:pPr>
              <w:pStyle w:val="Style20"/>
              <w:spacing w:before="0" w:after="283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120</w:t>
            </w:r>
          </w:p>
        </w:tc>
        <w:tc>
          <w:tcPr>
            <w:tcW w:w="3761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ind w:left="0" w:right="0" w:firstLine="36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6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0,80/0,30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1,00/0,40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1,10/0,45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0,30/0,50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1,40/0,55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1,50/0,60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1,65/0,70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1,90/0,80</w:t>
            </w:r>
          </w:p>
          <w:p>
            <w:pPr>
              <w:pStyle w:val="Style20"/>
              <w:spacing w:before="0" w:after="283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2,10/0,90</w:t>
            </w:r>
          </w:p>
        </w:tc>
      </w:tr>
      <w:tr>
        <w:trPr/>
        <w:tc>
          <w:tcPr>
            <w:tcW w:w="5644" w:type="dxa"/>
            <w:tcBorders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ind w:left="0" w:right="0" w:firstLine="3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Промежуточные радиорелейные станции, с мачтой или башней высотой, м: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110</w:t>
            </w:r>
          </w:p>
          <w:p>
            <w:pPr>
              <w:pStyle w:val="Style20"/>
              <w:spacing w:before="0" w:after="283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120</w:t>
            </w:r>
          </w:p>
        </w:tc>
        <w:tc>
          <w:tcPr>
            <w:tcW w:w="3761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0"/>
              <w:ind w:left="0" w:right="0" w:firstLine="36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6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0,80/0,40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0,85/0,45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1,00/0,50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1,10/0,55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0,30/0,60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1,40/0,65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1,50/0,70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1,65/0,80</w:t>
            </w:r>
          </w:p>
          <w:p>
            <w:pPr>
              <w:pStyle w:val="Style20"/>
              <w:spacing w:before="0" w:after="0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1,90/0,90</w:t>
            </w:r>
          </w:p>
          <w:p>
            <w:pPr>
              <w:pStyle w:val="Style20"/>
              <w:spacing w:before="0" w:after="283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2,10/1,00</w:t>
            </w:r>
          </w:p>
        </w:tc>
      </w:tr>
      <w:tr>
        <w:trPr/>
        <w:tc>
          <w:tcPr>
            <w:tcW w:w="5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ind w:left="0" w:right="0" w:firstLine="3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Аварийно – профилактические службы</w:t>
            </w:r>
          </w:p>
        </w:tc>
        <w:tc>
          <w:tcPr>
            <w:tcW w:w="3761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Style20"/>
              <w:spacing w:before="0" w:after="283"/>
              <w:ind w:left="0" w:right="0" w:firstLine="363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0,4</w:t>
            </w:r>
          </w:p>
        </w:tc>
      </w:tr>
    </w:tbl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Примечания: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>
      <w:pPr>
        <w:pStyle w:val="Style16"/>
        <w:spacing w:lineRule="auto" w:line="240" w:before="0" w:after="0"/>
        <w:rPr/>
      </w:pPr>
      <w:r>
        <w:rPr/>
        <w:t> </w:t>
      </w:r>
    </w:p>
    <w:p>
      <w:pPr>
        <w:pStyle w:val="Style16"/>
        <w:spacing w:lineRule="atLeast" w:line="227" w:before="0" w:after="0"/>
        <w:rPr/>
      </w:pPr>
      <w:r>
        <w:rPr>
          <w:rFonts w:ascii="Times New Roman;serif" w:hAnsi="Times New Roman;serif"/>
          <w:sz w:val="28"/>
        </w:rPr>
        <w:t>2. Разместить настоящее решение на официальном сайте администрации Неплюевского сельского поселения.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lineRule="atLeast" w:line="227" w:before="0" w:after="0"/>
        <w:rPr/>
      </w:pPr>
      <w:r>
        <w:rPr>
          <w:rFonts w:ascii="Times New Roman;serif" w:hAnsi="Times New Roman;serif"/>
          <w:sz w:val="28"/>
        </w:rPr>
        <w:t>Глава Неплюевского</w:t>
      </w:r>
    </w:p>
    <w:p>
      <w:pPr>
        <w:pStyle w:val="Style16"/>
        <w:rPr/>
      </w:pPr>
      <w:r>
        <w:rPr/>
        <w:t> </w:t>
      </w:r>
    </w:p>
    <w:p>
      <w:pPr>
        <w:pStyle w:val="Style16"/>
        <w:spacing w:lineRule="atLeast" w:line="227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 П. А. Гошенко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normi_prav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510</Words>
  <Characters>3389</Characters>
  <CharactersWithSpaces>3800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2019-08-29T16:21:55Z</dcterms:created>
  <dc:creator/>
  <dc:description/>
  <dc:language>ru-RU</dc:language>
  <cp:lastModifiedBy/>
  <dcterms:modified xsi:type="dcterms:W3CDTF">2019-08-29T16:21:59Z</dcterms:modified>
  <cp:revision>1</cp:revision>
  <dc:subject/>
  <dc:title/>
</cp:coreProperties>
</file>