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АДМИНИСТРАЦИЯ</w:t>
      </w:r>
    </w:p>
    <w:p>
      <w:pPr>
        <w:pStyle w:val="Style16"/>
        <w:spacing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НЕПЛЮЕВСКОГО СЕЛЬСКОГО ПОСЕЛЕНИЯ</w:t>
      </w:r>
    </w:p>
    <w:p>
      <w:pPr>
        <w:pStyle w:val="Style16"/>
        <w:spacing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КАРТАЛИНСКОГО МУНИЦИПАЛЬНОГО РАЙОНА ЧЕЛЯБИНСКОЙ ОБЛАСТИ</w:t>
      </w:r>
    </w:p>
    <w:p>
      <w:pPr>
        <w:pStyle w:val="Style16"/>
        <w:spacing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П О С Т А Н О В Л Е Н И Е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11 февраля 2015 г. № 02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Об утверждении Положения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о присвоении, изменении и 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аннулировании адресов объектам 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недвижимости, расположенным 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 территории Неплюевского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на основании Постановления Правительства Российской Федерации от 19.11.2014 года № 1221 «Об утверждении Правил присвоения, изменения и аннулирования адресов»,</w:t>
      </w:r>
    </w:p>
    <w:p>
      <w:pPr>
        <w:pStyle w:val="Style16"/>
        <w:spacing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администрация Неплюевского сельского поселения ПОСТАНОВЛЯЕТ:</w:t>
      </w:r>
    </w:p>
    <w:p>
      <w:pPr>
        <w:pStyle w:val="Style16"/>
        <w:spacing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Утвердить прилагаемое Положение о присвоении, изменении и аннулировании адресов объектам недвижимости, расположенным на территории Неплюевского сельского поселения.</w:t>
      </w:r>
    </w:p>
    <w:p>
      <w:pPr>
        <w:pStyle w:val="Style16"/>
        <w:spacing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Настоящее постановление разместить на официальном сайте администрации Неплюевского сельского поселения.</w:t>
      </w:r>
    </w:p>
    <w:p>
      <w:pPr>
        <w:pStyle w:val="Style16"/>
        <w:spacing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 Контроль за исполнением настоящего постановления оставляю за собой.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Глава Неплюевского </w:t>
      </w:r>
    </w:p>
    <w:p>
      <w:pPr>
        <w:pStyle w:val="Style16"/>
        <w:spacing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 П.А.Гошенко</w:t>
      </w:r>
    </w:p>
    <w:p>
      <w:pPr>
        <w:pStyle w:val="Style16"/>
        <w:spacing w:lineRule="auto" w:line="240" w:before="0" w:after="0"/>
        <w:ind w:left="62" w:right="0" w:hanging="0"/>
        <w:jc w:val="right"/>
        <w:rPr/>
      </w:pPr>
      <w:r>
        <w:rPr/>
        <w:t> </w:t>
      </w:r>
    </w:p>
    <w:p>
      <w:pPr>
        <w:pStyle w:val="Style16"/>
        <w:spacing w:lineRule="auto" w:line="240" w:before="0" w:after="0"/>
        <w:ind w:left="62" w:right="0" w:hanging="0"/>
        <w:jc w:val="right"/>
        <w:rPr/>
      </w:pPr>
      <w:r>
        <w:rPr/>
        <w:t> </w:t>
      </w:r>
    </w:p>
    <w:p>
      <w:pPr>
        <w:pStyle w:val="Style16"/>
        <w:spacing w:lineRule="auto" w:line="240" w:before="0" w:after="0"/>
        <w:ind w:left="62" w:right="0" w:hanging="0"/>
        <w:jc w:val="right"/>
        <w:rPr/>
      </w:pPr>
      <w:r>
        <w:rPr/>
        <w:t> </w:t>
      </w:r>
    </w:p>
    <w:p>
      <w:pPr>
        <w:pStyle w:val="Style16"/>
        <w:spacing w:lineRule="auto" w:line="240" w:before="0" w:after="0"/>
        <w:ind w:left="62" w:right="0" w:hanging="0"/>
        <w:jc w:val="right"/>
        <w:rPr/>
      </w:pPr>
      <w:r>
        <w:rPr/>
        <w:t> </w:t>
      </w:r>
    </w:p>
    <w:p>
      <w:pPr>
        <w:pStyle w:val="Style16"/>
        <w:spacing w:lineRule="auto" w:line="240" w:before="0" w:after="0"/>
        <w:ind w:left="62" w:right="0" w:hanging="0"/>
        <w:jc w:val="right"/>
        <w:rPr/>
      </w:pPr>
      <w:r>
        <w:rPr/>
        <w:t> </w:t>
      </w:r>
    </w:p>
    <w:p>
      <w:pPr>
        <w:pStyle w:val="Style16"/>
        <w:spacing w:lineRule="auto" w:line="240" w:before="0" w:after="0"/>
        <w:ind w:left="62" w:right="0" w:hanging="0"/>
        <w:jc w:val="right"/>
        <w:rPr/>
      </w:pPr>
      <w:r>
        <w:rPr/>
        <w:t> </w:t>
      </w:r>
    </w:p>
    <w:p>
      <w:pPr>
        <w:pStyle w:val="Style16"/>
        <w:spacing w:lineRule="auto" w:line="240" w:before="0" w:after="0"/>
        <w:jc w:val="righ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Утверждено</w:t>
      </w:r>
    </w:p>
    <w:p>
      <w:pPr>
        <w:pStyle w:val="Style16"/>
        <w:spacing w:lineRule="auto" w:line="240" w:before="0" w:after="0"/>
        <w:jc w:val="righ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постановлением администрации</w:t>
      </w:r>
    </w:p>
    <w:p>
      <w:pPr>
        <w:pStyle w:val="Style16"/>
        <w:spacing w:lineRule="auto" w:line="240" w:before="0" w:after="0"/>
        <w:jc w:val="righ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Неплюевского сельского поселения </w:t>
      </w:r>
    </w:p>
    <w:p>
      <w:pPr>
        <w:pStyle w:val="Style16"/>
        <w:spacing w:lineRule="auto" w:line="240" w:before="0" w:after="0"/>
        <w:jc w:val="righ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от 11.02.2015 г. № 02</w:t>
      </w:r>
    </w:p>
    <w:p>
      <w:pPr>
        <w:pStyle w:val="Style16"/>
        <w:widowControl w:val="false"/>
        <w:spacing w:before="0" w:after="0"/>
        <w:rPr/>
      </w:pPr>
      <w:r>
        <w:rPr/>
        <w:t> </w:t>
      </w:r>
    </w:p>
    <w:p>
      <w:pPr>
        <w:pStyle w:val="Style16"/>
        <w:widowControl w:val="false"/>
        <w:spacing w:before="0" w:after="0"/>
        <w:ind w:left="0" w:right="0" w:firstLine="720"/>
        <w:rPr/>
      </w:pPr>
      <w:r>
        <w:rPr/>
        <w:t> </w:t>
      </w:r>
    </w:p>
    <w:p>
      <w:pPr>
        <w:pStyle w:val="Style16"/>
        <w:widowControl w:val="false"/>
        <w:spacing w:before="0" w:after="0"/>
        <w:ind w:left="0" w:right="0" w:firstLine="720"/>
        <w:rPr/>
      </w:pPr>
      <w:r>
        <w:rPr/>
        <w:t> </w:t>
      </w:r>
    </w:p>
    <w:p>
      <w:pPr>
        <w:pStyle w:val="Style16"/>
        <w:spacing w:before="0" w:after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Положение</w:t>
        <w:br/>
        <w:t>о присвоении, изменении и аннулировании адресов объектам недвижимости, расположенным на территории Неплюевского сельского поселения</w:t>
      </w:r>
    </w:p>
    <w:p>
      <w:pPr>
        <w:pStyle w:val="Style16"/>
        <w:spacing w:before="0" w:after="0"/>
        <w:ind w:left="0" w:right="0" w:firstLine="720"/>
        <w:jc w:val="center"/>
        <w:rPr>
          <w:rFonts w:ascii="Times New Roman;serif" w:hAnsi="Times New Roman;serif"/>
          <w:sz w:val="24"/>
        </w:rPr>
      </w:pPr>
      <w:bookmarkStart w:id="0" w:name="Par34"/>
      <w:bookmarkEnd w:id="0"/>
      <w:r>
        <w:rPr>
          <w:rFonts w:ascii="Times New Roman;serif" w:hAnsi="Times New Roman;serif"/>
          <w:sz w:val="24"/>
        </w:rPr>
        <w:t>I. Общие положения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Arial;sans-serif" w:hAnsi="Arial;sans-serif"/>
          <w:color w:val="000000"/>
          <w:sz w:val="20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1. Настоящее Положение устанавливает порядок присвоения, изменения и аннулирования адресов, включая требования к структуре адреса, объектов, расположенных на территории Неплюевского сельского поселения.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2. Понятия, используемые в настоящем Положении, означают следующее: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Адресообразующие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Arial;sans-serif" w:hAnsi="Arial;sans-serif"/>
          <w:color w:val="000000"/>
          <w:sz w:val="20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Элемент планировочной структуры</w:t>
      </w:r>
      <w:r>
        <w:rPr>
          <w:rFonts w:ascii="Arial;sans-serif" w:hAnsi="Arial;sans-serif"/>
          <w:color w:val="000000"/>
          <w:sz w:val="20"/>
          <w:lang w:val="ru-RU"/>
        </w:rPr>
        <w:t xml:space="preserve"> </w:t>
      </w:r>
      <w:r>
        <w:rPr>
          <w:rFonts w:ascii="Times New Roman;serif" w:hAnsi="Times New Roman;serif"/>
          <w:b/>
          <w:color w:val="000000"/>
          <w:sz w:val="24"/>
          <w:lang w:val="ru-RU"/>
        </w:rPr>
        <w:t>-</w:t>
      </w:r>
      <w:r>
        <w:rPr>
          <w:rFonts w:ascii="Arial;sans-serif" w:hAnsi="Arial;sans-serif"/>
          <w:color w:val="000000"/>
          <w:sz w:val="20"/>
          <w:lang w:val="ru-RU"/>
        </w:rPr>
        <w:t xml:space="preserve"> </w:t>
      </w:r>
      <w:r>
        <w:rPr>
          <w:rFonts w:ascii="Times New Roman;serif" w:hAnsi="Times New Roman;serif"/>
          <w:color w:val="000000"/>
          <w:sz w:val="24"/>
          <w:lang w:val="ru-RU"/>
        </w:rPr>
        <w:t>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Объекты недвижимости — земельные участки и объекты капитального строительства (жилые дома, здания, строения, сооружения, объекты незавершенного строительства). 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Владение</w:t>
      </w:r>
      <w:r>
        <w:rPr/>
        <w:t xml:space="preserve"> </w:t>
      </w:r>
      <w:r>
        <w:rPr>
          <w:rFonts w:ascii="Times New Roman;serif" w:hAnsi="Times New Roman;serif"/>
          <w:sz w:val="24"/>
        </w:rPr>
        <w:t>(земельный участок различного функционального назначения с фиксированными замкнутыми границами с расположенными на нем зданиями, строениями и сооружениями);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Домовладение</w:t>
      </w:r>
      <w:r>
        <w:rPr/>
        <w:t xml:space="preserve"> </w:t>
      </w:r>
      <w:r>
        <w:rPr>
          <w:rFonts w:ascii="Times New Roman;serif" w:hAnsi="Times New Roman;serif"/>
          <w:sz w:val="24"/>
        </w:rPr>
        <w:t>- учтенный в установленном порядке обособленный земельный участок с расположенными на нем жилыми домами и строениями.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Адрес</w:t>
      </w:r>
      <w:r>
        <w:rPr/>
        <w:t xml:space="preserve"> </w:t>
      </w:r>
      <w:r>
        <w:rPr>
          <w:rFonts w:ascii="Times New Roman;serif" w:hAnsi="Times New Roman;serif"/>
          <w:sz w:val="24"/>
        </w:rPr>
        <w:t>(почтовый адрес) - структурированное описание по установленной форме совокупности реквизитов местоположения объекта на местности (земельного участка, владения, жилого дома, здания, сооружения, строения, домовладения), однозначно определяющее данный объект.</w:t>
      </w:r>
    </w:p>
    <w:p>
      <w:pPr>
        <w:pStyle w:val="Style16"/>
        <w:spacing w:lineRule="auto" w:line="240" w:before="0" w:after="0"/>
        <w:ind w:left="0" w:right="0" w:firstLine="720"/>
        <w:jc w:val="both"/>
        <w:rPr/>
      </w:pPr>
      <w:r>
        <w:rPr>
          <w:rFonts w:ascii="Times New Roman;serif" w:hAnsi="Times New Roman;serif"/>
          <w:sz w:val="24"/>
        </w:rPr>
        <w:t>Строительный адрес</w:t>
      </w:r>
      <w:r>
        <w:rPr/>
        <w:t xml:space="preserve"> </w:t>
      </w:r>
      <w:r>
        <w:rPr>
          <w:rFonts w:ascii="Times New Roman;serif" w:hAnsi="Times New Roman;serif"/>
          <w:b/>
          <w:sz w:val="24"/>
        </w:rPr>
        <w:t>-</w:t>
      </w:r>
      <w:r>
        <w:rPr/>
        <w:t xml:space="preserve"> </w:t>
      </w:r>
      <w:r>
        <w:rPr>
          <w:rFonts w:ascii="Times New Roman;serif" w:hAnsi="Times New Roman;serif"/>
          <w:sz w:val="24"/>
        </w:rPr>
        <w:t>структурированное описание совокупности реквизитов местоположения на местности объектов недвижимости на период строительства.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Улица, переулок, проезд, шоссе, бульвар, аллея, тупик</w:t>
      </w:r>
      <w:r>
        <w:rPr/>
        <w:t xml:space="preserve"> </w:t>
      </w:r>
      <w:r>
        <w:rPr>
          <w:rFonts w:ascii="Times New Roman;serif" w:hAnsi="Times New Roman;serif"/>
          <w:sz w:val="24"/>
        </w:rPr>
        <w:t>- поименованные градостроительные объекты, обеспечивающие транспортные и пешеходные связи между жилыми районами, а также между жилыми районами и промзонами, общественными центрами, микрорайонами (кварталами), имеющими линейные фиксированные по всей длине границы, начало и окончание.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Площадь, сквер, парк</w:t>
      </w:r>
      <w:r>
        <w:rPr/>
        <w:t xml:space="preserve"> </w:t>
      </w:r>
      <w:r>
        <w:rPr>
          <w:rFonts w:ascii="Times New Roman;serif" w:hAnsi="Times New Roman;serif"/>
          <w:sz w:val="24"/>
        </w:rPr>
        <w:t>- поименованный градостроительный объект, являющийся планировочным элементом, имеющий замкнутые границы.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Микрорайон</w:t>
      </w:r>
      <w:r>
        <w:rPr>
          <w:color w:val="FF0000"/>
        </w:rPr>
        <w:t xml:space="preserve"> </w:t>
      </w:r>
      <w:r>
        <w:rPr>
          <w:rFonts w:ascii="Times New Roman;serif" w:hAnsi="Times New Roman;serif"/>
          <w:sz w:val="24"/>
        </w:rPr>
        <w:t>(квартал)</w:t>
      </w:r>
      <w:r>
        <w:rPr/>
        <w:t xml:space="preserve"> </w:t>
      </w:r>
      <w:r>
        <w:rPr>
          <w:rFonts w:ascii="Times New Roman;serif" w:hAnsi="Times New Roman;serif"/>
          <w:sz w:val="24"/>
        </w:rPr>
        <w:t>- структурный элемент жилой застройки площадью, как правило, не расчлененный магистральными улицами и дорогами, в пределах которого размещаются учреждения и предприятия повседневного пользования границами, как правило, являются магистральные или жилые улицы, проезды, пешеходные пути, естественные рубежи;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Селитебная территория</w:t>
      </w:r>
      <w:r>
        <w:rPr/>
        <w:t xml:space="preserve"> </w:t>
      </w:r>
      <w:r>
        <w:rPr>
          <w:rFonts w:ascii="Times New Roman;serif" w:hAnsi="Times New Roman;serif"/>
          <w:sz w:val="24"/>
        </w:rPr>
        <w:t>- территория, предназначенная для размещения жилищного фонда, общественных зданий и сооружений, отдельных коммунальных и промышленных объектов (не требующих устройства санитарно-защитных зон), с планированием и устройством путей внутригородского сообщения, улиц, площадей, парков, садов, бульваров и других мест общего пользования.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Промышленная зона, промышленный район</w:t>
      </w:r>
      <w:r>
        <w:rPr/>
        <w:t xml:space="preserve"> </w:t>
      </w:r>
      <w:r>
        <w:rPr>
          <w:rFonts w:ascii="Times New Roman;serif" w:hAnsi="Times New Roman;serif"/>
          <w:sz w:val="24"/>
        </w:rPr>
        <w:t>- территория, предназначенная для 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объектов, сооружений внешнего транспорта.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Ландшафтно-рекреационная территория</w:t>
      </w:r>
      <w:r>
        <w:rPr/>
        <w:t xml:space="preserve"> </w:t>
      </w:r>
      <w:r>
        <w:rPr>
          <w:rFonts w:ascii="Times New Roman;serif" w:hAnsi="Times New Roman;serif"/>
          <w:sz w:val="24"/>
        </w:rPr>
        <w:t>- территория, включающая городские леса, лесопарки, лесозащитные зоны, водоемы, земли сельскохозяйственного использования и другие угодья, которые совместно с парками, садами и бульварами, размещаемыми на селитебной территории, формируют систему открытых пространств.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Номер владения, жилого дома, здания, корпуса, строения, сооружения, земельного участка</w:t>
      </w:r>
      <w:r>
        <w:rPr/>
        <w:t xml:space="preserve"> </w:t>
      </w:r>
      <w:r>
        <w:rPr>
          <w:rFonts w:ascii="Times New Roman;serif" w:hAnsi="Times New Roman;serif"/>
          <w:sz w:val="24"/>
        </w:rPr>
        <w:t>- реквизит адреса объекта, состоящий из последовательности цифр с возможным добавлением буквы.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Кадастровый номер</w:t>
      </w:r>
      <w:r>
        <w:rPr/>
        <w:t xml:space="preserve"> </w:t>
      </w:r>
      <w:r>
        <w:rPr>
          <w:rFonts w:ascii="Times New Roman;serif" w:hAnsi="Times New Roman;serif"/>
          <w:sz w:val="24"/>
        </w:rPr>
        <w:t>- уникальный, не повторяющийся во времени и на территории Российской Федерации номер объекта недвижимости, который присваивается при его формировании в соответствии с утвержденным порядком и сохраняется, пока он существует как единый объект зарегистрированного права.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ascii="Times New Roman;serif" w:hAnsi="Times New Roman;serif"/>
          <w:sz w:val="24"/>
        </w:rPr>
        <w:t>Топоним</w:t>
      </w:r>
      <w:r>
        <w:rPr/>
        <w:t xml:space="preserve"> — </w:t>
      </w:r>
      <w:r>
        <w:rPr>
          <w:rFonts w:ascii="Times New Roman;serif" w:hAnsi="Times New Roman;serif"/>
          <w:sz w:val="24"/>
        </w:rPr>
        <w:t>собственное название отдельного географического места (населенного пункта, его частей, производственные зоны, ландшафтно-рекреационные территории, реки, угодья, километраж автомагистралей и др.).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Геоним - обобщающее понятие для элементов уличной сети: владений, улиц, площадей, переулков, проездов и т.п., т.е. поименованные градостроительные объекты, обеспечивающие транспортные и пешеходные связи между жилыми районами, а также между жилыми районами и промзонами, общественными центрами, кварталами.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3. Адрес, присвоенный объекту адресации, должен отвечать следующим требованиям: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обязательность. Каждому объекту адресации должен быть присвоен адрес в соответствии с настоящим Положением;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4. Присвоение, изменение и аннулирование адресов осуществляется без взимания платы.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" w:name="Par48"/>
      <w:bookmarkEnd w:id="1"/>
      <w:r>
        <w:rPr>
          <w:rFonts w:ascii="Times New Roman;serif" w:hAnsi="Times New Roman;serif"/>
          <w:color w:val="000000"/>
          <w:sz w:val="24"/>
          <w:lang w:val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widowControl w:val="false"/>
        <w:spacing w:before="0" w:after="0"/>
        <w:jc w:val="center"/>
        <w:rPr>
          <w:rFonts w:ascii="Times New Roman;serif" w:hAnsi="Times New Roman;serif"/>
          <w:color w:val="000000"/>
          <w:sz w:val="24"/>
          <w:lang w:val="ru-RU"/>
        </w:rPr>
      </w:pPr>
      <w:bookmarkStart w:id="2" w:name="Par50"/>
      <w:bookmarkEnd w:id="2"/>
      <w:r>
        <w:rPr>
          <w:rFonts w:ascii="Times New Roman;serif" w:hAnsi="Times New Roman;serif"/>
          <w:color w:val="000000"/>
          <w:sz w:val="24"/>
          <w:lang w:val="ru-RU"/>
        </w:rPr>
        <w:t>II. Порядок присвоения объекту адресации адреса, изменения</w:t>
      </w:r>
    </w:p>
    <w:p>
      <w:pPr>
        <w:pStyle w:val="Style16"/>
        <w:widowControl w:val="false"/>
        <w:spacing w:before="0" w:after="0"/>
        <w:jc w:val="center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и аннулирования такого адреса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Arial;sans-serif" w:hAnsi="Arial;sans-serif"/>
          <w:color w:val="000000"/>
          <w:sz w:val="20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6. Присвоение объекту адресации адреса, изменение и аннулирование такого адреса осуществляется органом местного самоуправления –</w:t>
      </w:r>
      <w:r>
        <w:rPr>
          <w:rFonts w:ascii="Arial;sans-serif" w:hAnsi="Arial;sans-serif"/>
          <w:color w:val="000000"/>
          <w:sz w:val="20"/>
          <w:lang w:val="ru-RU"/>
        </w:rPr>
        <w:t xml:space="preserve"> </w:t>
      </w:r>
      <w:r>
        <w:rPr>
          <w:rFonts w:ascii="Times New Roman;serif" w:hAnsi="Times New Roman;serif"/>
          <w:color w:val="000000"/>
          <w:sz w:val="24"/>
          <w:lang w:val="ru-RU"/>
        </w:rPr>
        <w:t>администрацией Неплюевского сельского поселения (далее – администрация), с использованием федеральной информационной адресной системы.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"Par108"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пунктах 27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и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"Par114"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29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3" w:name="Par55"/>
      <w:bookmarkEnd w:id="3"/>
      <w:r>
        <w:rPr>
          <w:rFonts w:ascii="Times New Roman;serif" w:hAnsi="Times New Roman;serif"/>
          <w:color w:val="000000"/>
          <w:sz w:val="24"/>
          <w:lang w:val="ru-RU"/>
        </w:rPr>
        <w:t>8. Присвоение объекту адресации адреса осуществляется: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в отношении земельных участков в случаях: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в отношении зданий, сооружений и объектов незавершенного строительства в случаях: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выдачи (получения) разрешения на строительство здания или сооружения;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в отношении помещений в случаях: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4" w:name="Par67"/>
      <w:bookmarkEnd w:id="4"/>
      <w:r>
        <w:rPr>
          <w:rFonts w:ascii="Times New Roman;serif" w:hAnsi="Times New Roman;serif"/>
          <w:color w:val="000000"/>
          <w:sz w:val="24"/>
          <w:lang w:val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12. 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5" w:name="Par70"/>
      <w:bookmarkEnd w:id="5"/>
      <w:r>
        <w:rPr>
          <w:rFonts w:ascii="Times New Roman;serif" w:hAnsi="Times New Roman;serif"/>
          <w:color w:val="000000"/>
          <w:sz w:val="24"/>
          <w:lang w:val="ru-RU"/>
        </w:rPr>
        <w:t>14. Аннулирование адреса объекта адресации осуществляется в случаях: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6" w:name="Par71"/>
      <w:bookmarkEnd w:id="6"/>
      <w:r>
        <w:rPr>
          <w:rFonts w:ascii="Times New Roman;serif" w:hAnsi="Times New Roman;serif"/>
          <w:color w:val="000000"/>
          <w:sz w:val="24"/>
          <w:lang w:val="ru-RU"/>
        </w:rPr>
        <w:t>а) прекращения существования объекта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7" w:name="Par72"/>
      <w:bookmarkEnd w:id="7"/>
      <w:r>
        <w:rPr>
          <w:rFonts w:ascii="Times New Roman;serif" w:hAnsi="Times New Roman;serif"/>
          <w:color w:val="000000"/>
          <w:sz w:val="24"/>
          <w:lang w:val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присвоения объекту адресации нового адреса.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8" w:name="Par77"/>
      <w:bookmarkEnd w:id="8"/>
      <w:r>
        <w:rPr>
          <w:rFonts w:ascii="Times New Roman;serif" w:hAnsi="Times New Roman;serif"/>
          <w:color w:val="000000"/>
          <w:sz w:val="24"/>
          <w:lang w:val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19. При присвоении объекту адресации адреса или аннулировании его адреса администрация обязана: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определить возможность присвоения объекту адресации адреса или аннулирования его адреса;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провести осмотр местонахождения объекта адресации (при необходимости);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20.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21. Решение администрации о присвоении объекту адресации адреса принимается одновременно: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г) с утверждением проекта планировки территории;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д) с принятием решения о строительстве объекта адресации.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22. Решение администрации о присвоении объекту адресации адреса содержит: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присвоенный объекту адресации адрес;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реквизиты и наименования документов, на основании которых принято решение о присвоении адреса;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описание местоположения объекта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кадастровые номера, адреса и сведения об объектах недвижимости, из которых образуется объект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другие необходимые сведения, определенные администрацией.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23. Решение администрации об аннулировании адреса объекта адресации содержит: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аннулируемый адрес объекта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уникальный номер аннулируемого адреса объекта адресации в государственном адресном реестре;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причину аннулирования адреса объекта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другие необходимые сведения, определенные администрацией.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9" w:name="Par105"/>
      <w:bookmarkEnd w:id="9"/>
      <w:r>
        <w:rPr>
          <w:rFonts w:ascii="Times New Roman;serif" w:hAnsi="Times New Roman;serif"/>
          <w:color w:val="000000"/>
          <w:sz w:val="24"/>
          <w:lang w:val="ru-RU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0" w:name="Par108"/>
      <w:bookmarkEnd w:id="10"/>
      <w:r>
        <w:rPr>
          <w:rFonts w:ascii="Times New Roman;serif" w:hAnsi="Times New Roman;serif"/>
          <w:color w:val="000000"/>
          <w:sz w:val="24"/>
          <w:lang w:val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право хозяйственного ведения;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право оперативного управления;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право пожизненно наследуемого владения;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г) право постоянного (бессрочного) пользования.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28. Заявление составляется лицами, указанными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"Par105"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2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>9 настоящего Положения (далее - заявитель), по форме, устанавливаемой Министерством финансов Российской Федерации.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1" w:name="Par114"/>
      <w:bookmarkEnd w:id="11"/>
      <w:r>
        <w:rPr>
          <w:rFonts w:ascii="Times New Roman;serif" w:hAnsi="Times New Roman;serif"/>
          <w:color w:val="000000"/>
          <w:sz w:val="24"/>
          <w:lang w:val="ru-RU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Заявление представляется заявителем (представителем заявителя) в администрацию. 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Заявление представляется в администрацию по месту нахождения объекта адресации.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32. Заявление подписывается заявителем либо представителем заявителя.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2" w:name="Par128"/>
      <w:bookmarkEnd w:id="12"/>
      <w:r>
        <w:rPr>
          <w:rFonts w:ascii="Times New Roman;serif" w:hAnsi="Times New Roman;serif"/>
          <w:color w:val="000000"/>
          <w:sz w:val="24"/>
          <w:lang w:val="ru-RU"/>
        </w:rPr>
        <w:t>34. К заявлению прилагаются следующие документы: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правоустанавливающие и (или) правоудостоверяющие документы на объект (объекты) адресации;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"Par71"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подпункте "а" пункта 14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"Par72"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подпункте "б" пункта 14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Положения).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35. Администрация запрашивает документы, указанные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"Par128"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34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"Par128"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34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36. Если заявление и документы, указанные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"Par128"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34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Положения, представляются заявителем (представителем заявителя) в администрацию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В случае, если заявление и документы, указанные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"Par128"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34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3" w:name="Par146"/>
      <w:bookmarkEnd w:id="13"/>
      <w:r>
        <w:rPr>
          <w:rFonts w:ascii="Times New Roman;serif" w:hAnsi="Times New Roman;serif"/>
          <w:color w:val="000000"/>
          <w:sz w:val="24"/>
          <w:lang w:val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4" w:name="Par147"/>
      <w:bookmarkEnd w:id="14"/>
      <w:r>
        <w:rPr>
          <w:rFonts w:ascii="Times New Roman;serif" w:hAnsi="Times New Roman;serif"/>
          <w:color w:val="000000"/>
          <w:sz w:val="24"/>
          <w:lang w:val="ru-RU"/>
        </w:rPr>
        <w:t>38.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заявителя):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"Par146"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пунктом 37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 срока посредством почтового отправления по указанному в заявлении почтовому адресу.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5" w:name="Par152"/>
      <w:bookmarkEnd w:id="15"/>
      <w:r>
        <w:rPr>
          <w:rFonts w:ascii="Times New Roman;serif" w:hAnsi="Times New Roman;serif"/>
          <w:color w:val="000000"/>
          <w:sz w:val="24"/>
          <w:lang w:val="ru-RU"/>
        </w:rPr>
        <w:t>39. В присвоении объекту адресации адреса или аннулировании его адреса может быть отказано в случаях, если: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с заявлением о присвоении объекту адресации адреса обратилось лицо, не указанное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"Par108"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пунктах 27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и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"Par114"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29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"Par48"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пунктах 5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,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"Par55"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8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-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"Par67"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11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и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"Par70"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14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-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"Par77"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18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"Par152"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 xml:space="preserve">пункта 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>39 настоящего Положения, являющиеся основанием для принятия такого решения.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>
      <w:pPr>
        <w:pStyle w:val="Style16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6"/>
        <w:widowControl w:val="false"/>
        <w:spacing w:before="0" w:after="0"/>
        <w:jc w:val="center"/>
        <w:rPr>
          <w:rFonts w:ascii="Times New Roman;serif" w:hAnsi="Times New Roman;serif"/>
          <w:color w:val="000000"/>
          <w:sz w:val="24"/>
          <w:lang w:val="ru-RU"/>
        </w:rPr>
      </w:pPr>
      <w:bookmarkStart w:id="16" w:name="Par161"/>
      <w:bookmarkEnd w:id="16"/>
      <w:r>
        <w:rPr>
          <w:rFonts w:ascii="Times New Roman;serif" w:hAnsi="Times New Roman;serif"/>
          <w:color w:val="000000"/>
          <w:sz w:val="24"/>
          <w:lang w:val="ru-RU"/>
        </w:rPr>
        <w:t>III. Структура адреса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7" w:name="Par163"/>
      <w:bookmarkEnd w:id="17"/>
      <w:r>
        <w:rPr>
          <w:rFonts w:ascii="Times New Roman;serif" w:hAnsi="Times New Roman;serif"/>
          <w:color w:val="000000"/>
          <w:sz w:val="24"/>
          <w:lang w:val="ru-RU"/>
        </w:rPr>
        <w:t>43.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наименование страны (Российская Федерация);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наименование субъекта Российской Федерации;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наименование муниципального района;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г) наименование городского или сельского поселения в составе муниципального района;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д) наименование населенного пункта;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е) наименование элемента планировочной структуры;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ж) наименование элемента улично-дорожной сети;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з) номер земельного участка;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и) тип и номер здания, сооружения или объекта незавершенного строительства;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к) тип и номер помещения, расположенного в здании или сооружении.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"Par163"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44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настоящего Положения.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45. Перечень адресообразующих элементов, используемых при описании адреса объекта адресации, зависит от вида объекта адресации.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bookmarkStart w:id="18" w:name="Par176"/>
      <w:bookmarkEnd w:id="18"/>
      <w:r>
        <w:rPr>
          <w:rFonts w:ascii="Times New Roman;serif" w:hAnsi="Times New Roman;serif"/>
          <w:color w:val="000000"/>
          <w:sz w:val="24"/>
          <w:lang w:val="ru-RU"/>
        </w:rPr>
        <w:t>46. Обязательными адресообразующими элементами для всех видов объектов адресации являются: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страна;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субъект Российской Федерации;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муниципальный район;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г) городское или сельское поселение в составе муниципального района;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д) населенный пункт.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47. Иные адресообразующие элементы применяются в зависимости от вида объекта адресации: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- адрес жилого дома: Россия, Челябинская область, Карталинский район, наименование населённого пункта, наименование улицы (может отсутствовать), номер дома (может отсутствовать);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адрес владения, земельного участка: Россия, Челябинская область, Карталинский район, наименование населённого пункта, наименование улицы (может отсутствовать), номер владения (номер основного здания на территории владения) или участка;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адрес здания, строения, сооружения: Россия, Челябинская область, Карталинский район, наименование населённого пункта, наименование улицы, номер владения (номер основного здания на территории владения), номер корпуса, строения или сооружения;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адрес сооружения, строения при отсутствии основного здания: Россия, Челябинская область, Карталинский район, наименование населённого пункта, номер сооружения или строения;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адрес объекта вне населенного пункта: Россия, Челябинская область, Карталинский район, наименование поселения; наименование владения (номер земельного участка по кадастровому массиву в соответствии с установленным кадастровым номером или номер строения или номер основного здания на территории владения).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48. Структура адреса земельного участка в дополнение к обязательным адресообразующим элементам, указанным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"Par176"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>6 настоящего Положения, включает в себя следующие адресообразующие элементы, описанные идентифицирующими их реквизитами: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наименование элемента планировочной структуры (при наличии);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наименование элемента улично-дорожной сети (при наличии);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номер земельного участка.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49.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"Par176"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>6 настоящего Положения, включает в себя следующие адресообразующие элементы, описанные идентифицирующими их реквизитами: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наименование элемента планировочной структуры (при наличии);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наименование элемента улично-дорожной сети (при наличии);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тип и номер здания, сооружения или объекта незавершенного строительства.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50. Структура адреса помещения в пределах здания (сооружения) в дополнение к обязательным адресообразующим элементам, указанным в </w:t>
      </w:r>
      <w:r>
        <w:fldChar w:fldCharType="begin"/>
      </w:r>
      <w:r>
        <w:rPr>
          <w:rStyle w:val="Style14"/>
          <w:sz w:val="24"/>
          <w:rFonts w:ascii="Times New Roman;serif" w:hAnsi="Times New Roman;serif"/>
        </w:rPr>
        <w:instrText> HYPERLINK "http://nepluevskoe.eps74.ru/Publications/NH/Show?id=135" \l "Par176"</w:instrText>
      </w:r>
      <w:r>
        <w:rPr>
          <w:rStyle w:val="Style14"/>
          <w:sz w:val="24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color w:val="000000"/>
          <w:sz w:val="24"/>
          <w:lang w:val="ru-RU"/>
        </w:rPr>
        <w:t>пункте 4</w:t>
      </w:r>
      <w:r>
        <w:rPr>
          <w:rStyle w:val="Style14"/>
          <w:sz w:val="24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color w:val="000000"/>
          <w:sz w:val="24"/>
          <w:lang w:val="ru-RU"/>
        </w:rPr>
        <w:t>6 настоящего Положения, включает в себя следующие адресообразующие элементы, описанные идентифицирующими их реквизитами: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наименование элемента планировочной структуры (при наличии);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наименование элемента улично-дорожной сети (при наличии);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тип и номер здания, сооружения;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г) тип и номер помещения в пределах здания, сооружения;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д) тип и номер помещения в пределах квартиры (в отношении коммунальных квартир).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>
      <w:pPr>
        <w:pStyle w:val="Style16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6"/>
        <w:widowControl w:val="false"/>
        <w:spacing w:before="0" w:after="0"/>
        <w:jc w:val="center"/>
        <w:rPr>
          <w:rFonts w:ascii="Times New Roman;serif" w:hAnsi="Times New Roman;serif"/>
          <w:color w:val="000000"/>
          <w:sz w:val="24"/>
          <w:lang w:val="ru-RU"/>
        </w:rPr>
      </w:pPr>
      <w:bookmarkStart w:id="19" w:name="Par199"/>
      <w:bookmarkEnd w:id="19"/>
      <w:r>
        <w:rPr>
          <w:rFonts w:ascii="Times New Roman;serif" w:hAnsi="Times New Roman;serif"/>
          <w:color w:val="000000"/>
          <w:sz w:val="24"/>
          <w:lang w:val="ru-RU"/>
        </w:rPr>
        <w:t>IV. Правила написания наименований и нумерации</w:t>
      </w:r>
    </w:p>
    <w:p>
      <w:pPr>
        <w:pStyle w:val="Style16"/>
        <w:widowControl w:val="false"/>
        <w:spacing w:before="0" w:after="0"/>
        <w:jc w:val="center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объектов адресации</w:t>
      </w:r>
    </w:p>
    <w:p>
      <w:pPr>
        <w:pStyle w:val="Style16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52. В структуре адреса наименования страны, субъекта Российской Федерации, муниципального района,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Наименование муниципального района,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а) "-" - дефис;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б) "." - точка;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в) "(" - открывающая круглая скобка;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г) ")" - закрывающая круглая скобка;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д) "N" - знак номера.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59.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>
      <w:pPr>
        <w:pStyle w:val="Style16"/>
        <w:widowControl w:val="false"/>
        <w:spacing w:before="0" w:after="0"/>
        <w:ind w:left="0" w:right="0" w:firstLine="539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>
      <w:pPr>
        <w:pStyle w:val="Style16"/>
        <w:widowControl w:val="false"/>
        <w:spacing w:before="0" w:after="0"/>
        <w:ind w:left="0" w:right="0" w:firstLine="539"/>
        <w:jc w:val="both"/>
        <w:rPr/>
      </w:pPr>
      <w:r>
        <w:rPr/>
        <w:t> </w:t>
      </w:r>
    </w:p>
    <w:p>
      <w:pPr>
        <w:pStyle w:val="Style16"/>
        <w:spacing w:lineRule="auto" w:line="240" w:before="0" w:after="0"/>
        <w:jc w:val="center"/>
        <w:rPr/>
      </w:pPr>
      <w:r>
        <w:rPr>
          <w:rFonts w:ascii="Times New Roman;serif" w:hAnsi="Times New Roman;serif"/>
          <w:sz w:val="24"/>
          <w:lang w:val="en-US"/>
        </w:rPr>
        <w:t>V</w:t>
      </w:r>
      <w:r>
        <w:rPr>
          <w:rFonts w:ascii="Times New Roman;serif" w:hAnsi="Times New Roman;serif"/>
          <w:sz w:val="24"/>
        </w:rPr>
        <w:t>. Правила адресации объектов.</w:t>
      </w:r>
    </w:p>
    <w:p>
      <w:pPr>
        <w:pStyle w:val="Style16"/>
        <w:spacing w:lineRule="auto" w:line="240" w:before="0" w:after="0"/>
        <w:jc w:val="center"/>
        <w:rPr/>
      </w:pPr>
      <w:r>
        <w:rPr/>
        <w:t> </w:t>
      </w:r>
    </w:p>
    <w:p>
      <w:pPr>
        <w:pStyle w:val="Style16"/>
        <w:spacing w:lineRule="auto" w:line="240" w:before="0"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63. Присвоение адреса и нумерация жилых домов, зданий, образующих непрерывный фронт застройки и расположенных на магистральных улицах, производятся:</w:t>
      </w:r>
    </w:p>
    <w:p>
      <w:pPr>
        <w:pStyle w:val="Style16"/>
        <w:spacing w:lineRule="auto" w:line="240" w:before="0"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от центра населенного пункта к периферии с нечетными номерами по левой стороне улицы и четными номерами по правой;</w:t>
      </w:r>
    </w:p>
    <w:p>
      <w:pPr>
        <w:pStyle w:val="Style16"/>
        <w:spacing w:lineRule="auto" w:line="240" w:before="0"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с запада на восток с нечетными номерами по левой стороне и с четными по правой;</w:t>
      </w:r>
    </w:p>
    <w:p>
      <w:pPr>
        <w:pStyle w:val="Style16"/>
        <w:spacing w:lineRule="auto" w:line="240" w:before="0"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 с севера на юг с нечетными номерами по левой стороне и с четными по правой.</w:t>
      </w:r>
    </w:p>
    <w:p>
      <w:pPr>
        <w:pStyle w:val="Style16"/>
        <w:spacing w:lineRule="auto" w:line="240" w:before="0"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64. Жилым домам, зданиям, строениям, сооружениям, земельным участкам, находящимся на пересечении улиц различных категорий, адрес присваивается от улицы более высокой категории.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65. Объектам недвижимости, находящимся на пересечении улиц равных категорий, адрес присваивается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 населенного пункта.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66. Присвоение адреса жилым домам, зданиям, строениям, сооружениям, образующим периметр площади, производится по часовой стрелке, начиная от главной магистрали. При этом последовательность номеров жилых домов, зданий, строений на сквозных улицах, примыкающих к площадям, прерывается. В случае если угловой жилой дом, здание, строение имеют главный фасад и значительную протяженность вдоль примыкающей улицы, их нумерация производится по улице, а не по площади.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67. Нумерацию жилых домов, зданий, строений, сооружений, расположенных между двумя уже адресованными жилыми домами, зданиями, строениями с последовательными номерами («вставки» объектов), рекомендуется производить, используя меньший номер соответствующего объекта с добавлением к нему буквы.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68. Адресная привязка жилого дома, здания, строения и сооружения в полосе отвода железной дороги, транспортных магистралей производится с указанием наименования направления железной дороги, транспортной магистрали и существующего километража.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69. Адресная привязка объектов недвижимости в полосе автомагистралей производится с указанием наименования топонима автомагистралей и существующего километража. Нумерация зданий производится по ходу часовой стрелки с нечетными номерами по левой стороне и четными номерами по правой. 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70. На территории владения определяется основное здание, относительно которого осуществляется адресация самого владения, устанавливаемая в соответствии с п.п. 63-69. настоящего Положения.</w:t>
      </w:r>
    </w:p>
    <w:p>
      <w:pPr>
        <w:pStyle w:val="Style16"/>
        <w:spacing w:lineRule="auto" w:line="240" w:before="0" w:after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71. Прочим (неосновным) зданиям, строениям и сооружениям, расположенным на территории владения, присваивается номер основного здания и дополнительно номер корпуса или строения.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объектов недвижимости.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72. Нумерация зданий производится от главного въезда на территорию владения по мере удаления от него.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73.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 (п. 71).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74. Сооружениям и строениям присваивается адрес владения (земельного участка в случае отсутствия основного здания), на котором оно расположено, с добавлением указателя «соор.» или «стр.» и номера сооружения или строения.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75. Свободным от застройки земельным участкам может быть присвоен адрес с учетом сложившейся адресации близлежащих объектов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76. Земельным участкам, находящимся за границами населенного пункта и удаленным от железной дороги, транспортной автомобильной магистрали, присваивается адрес с учетом километража от границы населенного пункта до границ земельного участка. </w:t>
      </w:r>
    </w:p>
    <w:p>
      <w:pPr>
        <w:pStyle w:val="Style16"/>
        <w:spacing w:lineRule="auto" w:line="240" w:before="0" w:after="0"/>
        <w:ind w:left="0" w:right="0" w:firstLine="7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77. Зданиям, строениям и сооружениям, находящимся на земельном участке, который находится за границами населенного пункта, присваивается адрес земельного участка с указанием номера дома, строения, сооружения.</w:t>
      </w:r>
    </w:p>
    <w:p>
      <w:pPr>
        <w:pStyle w:val="Style16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14</Pages>
  <Words>4619</Words>
  <Characters>34459</Characters>
  <CharactersWithSpaces>38882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2019-08-29T16:15:24Z</dcterms:created>
  <dc:creator/>
  <dc:description/>
  <dc:language>ru-RU</dc:language>
  <cp:lastModifiedBy/>
  <dcterms:modified xsi:type="dcterms:W3CDTF">2019-08-29T16:15:29Z</dcterms:modified>
  <cp:revision>1</cp:revision>
  <dc:subject/>
  <dc:title/>
</cp:coreProperties>
</file>